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69" w:rsidRPr="00ED2A69" w:rsidRDefault="00ED2A69" w:rsidP="00ED2A69">
      <w:pPr>
        <w:spacing w:after="150" w:line="660" w:lineRule="atLeast"/>
        <w:jc w:val="center"/>
        <w:outlineLvl w:val="1"/>
        <w:rPr>
          <w:rFonts w:ascii="&amp;quot" w:eastAsia="Times New Roman" w:hAnsi="&amp;quot" w:cs="Times New Roman"/>
          <w:color w:val="0055A5"/>
          <w:sz w:val="54"/>
          <w:szCs w:val="54"/>
        </w:rPr>
      </w:pPr>
      <w:r w:rsidRPr="00ED2A69">
        <w:rPr>
          <w:rFonts w:ascii="&amp;quot" w:eastAsia="Times New Roman" w:hAnsi="&amp;quot" w:cs="Times New Roman"/>
          <w:color w:val="0055A5"/>
          <w:sz w:val="54"/>
          <w:szCs w:val="54"/>
        </w:rPr>
        <w:t>NCGA Tournament Golf Procedures During COVID-19 Pandemic</w:t>
      </w:r>
    </w:p>
    <w:p w:rsidR="00ED2A69" w:rsidRPr="00355FED" w:rsidRDefault="00ED2A69" w:rsidP="00C93B74">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The following policies will be in effect for all NCGA events and are subject to change based on current county and state guidelines. Realizing each golf course has different capabilities of service, NCGA staff will work with the golf courses to create safe playing opportunities for participants. Players or spectators failing to adhere to the following policies will be removed from the event and asked to leave the premises.</w:t>
      </w:r>
      <w:r w:rsidR="00C93B74" w:rsidRPr="00355FED">
        <w:rPr>
          <w:rFonts w:ascii="&amp;quot" w:eastAsia="Times New Roman" w:hAnsi="&amp;quot" w:cs="Times New Roman"/>
          <w:color w:val="3A414A"/>
          <w:sz w:val="24"/>
          <w:szCs w:val="24"/>
        </w:rPr>
        <w:t xml:space="preserve"> </w:t>
      </w:r>
      <w:r w:rsidRPr="00355FED">
        <w:rPr>
          <w:rFonts w:ascii="&amp;quot" w:eastAsia="Times New Roman" w:hAnsi="&amp;quot" w:cs="Times New Roman"/>
          <w:color w:val="3A414A"/>
          <w:sz w:val="24"/>
          <w:szCs w:val="24"/>
        </w:rPr>
        <w:t>In addition to the following pro</w:t>
      </w:r>
      <w:r w:rsidR="00C93B74" w:rsidRPr="00355FED">
        <w:rPr>
          <w:rFonts w:ascii="&amp;quot" w:eastAsia="Times New Roman" w:hAnsi="&amp;quot" w:cs="Times New Roman"/>
          <w:color w:val="3A414A"/>
          <w:sz w:val="24"/>
          <w:szCs w:val="24"/>
        </w:rPr>
        <w:t>cedures</w:t>
      </w:r>
      <w:r w:rsidRPr="00355FED">
        <w:rPr>
          <w:rFonts w:ascii="&amp;quot" w:eastAsia="Times New Roman" w:hAnsi="&amp;quot" w:cs="Times New Roman"/>
          <w:color w:val="3A414A"/>
          <w:sz w:val="24"/>
          <w:szCs w:val="24"/>
        </w:rPr>
        <w:t xml:space="preserve"> that will be enforced by the NCGA, we ask that you use the following precautions:</w:t>
      </w:r>
    </w:p>
    <w:p w:rsidR="00ED2A69" w:rsidRPr="00355FED" w:rsidRDefault="00ED2A69" w:rsidP="00ED2A69">
      <w:pPr>
        <w:numPr>
          <w:ilvl w:val="0"/>
          <w:numId w:val="1"/>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If you have a fever, cough or other symptoms of COVID-19, please stay home. Any player </w:t>
      </w:r>
      <w:r w:rsidR="00C93B74" w:rsidRPr="00355FED">
        <w:rPr>
          <w:rFonts w:ascii="&amp;quot" w:eastAsia="Times New Roman" w:hAnsi="&amp;quot" w:cs="Times New Roman"/>
          <w:color w:val="3A414A"/>
          <w:sz w:val="24"/>
          <w:szCs w:val="24"/>
        </w:rPr>
        <w:t xml:space="preserve">or spectator </w:t>
      </w:r>
      <w:r w:rsidRPr="00355FED">
        <w:rPr>
          <w:rFonts w:ascii="&amp;quot" w:eastAsia="Times New Roman" w:hAnsi="&amp;quot" w:cs="Times New Roman"/>
          <w:color w:val="3A414A"/>
          <w:sz w:val="24"/>
          <w:szCs w:val="24"/>
        </w:rPr>
        <w:t>with noticeable symptoms will be asked to go home.</w:t>
      </w:r>
    </w:p>
    <w:p w:rsidR="00ED2A69" w:rsidRPr="00355FED" w:rsidRDefault="00ED2A69" w:rsidP="00ED2A69">
      <w:pPr>
        <w:numPr>
          <w:ilvl w:val="0"/>
          <w:numId w:val="1"/>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Avoid touching your mouth, nose, lips and eyes.</w:t>
      </w:r>
    </w:p>
    <w:p w:rsidR="00ED2A69" w:rsidRPr="00355FED" w:rsidRDefault="00ED2A69" w:rsidP="00ED2A69">
      <w:pPr>
        <w:numPr>
          <w:ilvl w:val="0"/>
          <w:numId w:val="1"/>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Wash your hands frequently. If you are unable to wash your hands, use hand sanitizer.</w:t>
      </w:r>
    </w:p>
    <w:p w:rsidR="00ED2A69" w:rsidRPr="00355FED" w:rsidRDefault="00ED2A69" w:rsidP="00ED2A69">
      <w:pPr>
        <w:numPr>
          <w:ilvl w:val="0"/>
          <w:numId w:val="1"/>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Please familiarize yourself with and follow the best practices published by the </w:t>
      </w:r>
      <w:hyperlink r:id="rId5" w:history="1">
        <w:r w:rsidRPr="00355FED">
          <w:rPr>
            <w:rFonts w:ascii="&amp;quot" w:eastAsia="Times New Roman" w:hAnsi="&amp;quot" w:cs="Times New Roman"/>
            <w:color w:val="0077E5"/>
            <w:sz w:val="24"/>
            <w:szCs w:val="24"/>
            <w:u w:val="single"/>
          </w:rPr>
          <w:t>Center for Disease Control</w:t>
        </w:r>
      </w:hyperlink>
      <w:r w:rsidRPr="00355FED">
        <w:rPr>
          <w:rFonts w:ascii="&amp;quot" w:eastAsia="Times New Roman" w:hAnsi="&amp;quot" w:cs="Times New Roman"/>
          <w:color w:val="3A414A"/>
          <w:sz w:val="24"/>
          <w:szCs w:val="24"/>
        </w:rPr>
        <w:t xml:space="preserve"> (CDC), </w:t>
      </w:r>
      <w:hyperlink r:id="rId6" w:history="1">
        <w:r w:rsidRPr="00355FED">
          <w:rPr>
            <w:rFonts w:ascii="&amp;quot" w:eastAsia="Times New Roman" w:hAnsi="&amp;quot" w:cs="Times New Roman"/>
            <w:color w:val="0077E5"/>
            <w:sz w:val="24"/>
            <w:szCs w:val="24"/>
            <w:u w:val="single"/>
          </w:rPr>
          <w:t>World Health Organization</w:t>
        </w:r>
      </w:hyperlink>
      <w:r w:rsidRPr="00355FED">
        <w:rPr>
          <w:rFonts w:ascii="&amp;quot" w:eastAsia="Times New Roman" w:hAnsi="&amp;quot" w:cs="Times New Roman"/>
          <w:color w:val="3A414A"/>
          <w:sz w:val="24"/>
          <w:szCs w:val="24"/>
        </w:rPr>
        <w:t xml:space="preserve"> (WHO) and </w:t>
      </w:r>
      <w:hyperlink r:id="rId7" w:history="1">
        <w:proofErr w:type="gramStart"/>
        <w:r w:rsidRPr="00355FED">
          <w:rPr>
            <w:rFonts w:ascii="&amp;quot" w:eastAsia="Times New Roman" w:hAnsi="&amp;quot" w:cs="Times New Roman"/>
            <w:color w:val="0077E5"/>
            <w:sz w:val="24"/>
            <w:szCs w:val="24"/>
            <w:u w:val="single"/>
          </w:rPr>
          <w:t>California state</w:t>
        </w:r>
        <w:proofErr w:type="gramEnd"/>
        <w:r w:rsidRPr="00355FED">
          <w:rPr>
            <w:rFonts w:ascii="&amp;quot" w:eastAsia="Times New Roman" w:hAnsi="&amp;quot" w:cs="Times New Roman"/>
            <w:color w:val="0077E5"/>
            <w:sz w:val="24"/>
            <w:szCs w:val="24"/>
            <w:u w:val="single"/>
          </w:rPr>
          <w:t xml:space="preserve"> and county ordinances</w:t>
        </w:r>
      </w:hyperlink>
      <w:r w:rsidRPr="00355FED">
        <w:rPr>
          <w:rFonts w:ascii="&amp;quot" w:eastAsia="Times New Roman" w:hAnsi="&amp;quot" w:cs="Times New Roman"/>
          <w:color w:val="3A414A"/>
          <w:sz w:val="24"/>
          <w:szCs w:val="24"/>
        </w:rPr>
        <w:t>.</w:t>
      </w:r>
    </w:p>
    <w:p w:rsidR="00ED2A69" w:rsidRPr="00355FED" w:rsidRDefault="00ED2A69" w:rsidP="00ED2A69">
      <w:pPr>
        <w:spacing w:after="15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w:t>
      </w: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b/>
          <w:bCs/>
          <w:color w:val="3A414A"/>
          <w:sz w:val="24"/>
          <w:szCs w:val="24"/>
        </w:rPr>
        <w:t>General Sanitation Guidelines for Participation in NCGA Events</w:t>
      </w:r>
    </w:p>
    <w:p w:rsidR="00ED2A69" w:rsidRPr="00355FED" w:rsidRDefault="00ED2A69" w:rsidP="00ED2A69">
      <w:pPr>
        <w:numPr>
          <w:ilvl w:val="0"/>
          <w:numId w:val="2"/>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Except as expressly permitted on </w:t>
      </w:r>
      <w:r w:rsidR="00C93B74" w:rsidRPr="00355FED">
        <w:rPr>
          <w:rFonts w:ascii="&amp;quot" w:eastAsia="Times New Roman" w:hAnsi="&amp;quot" w:cs="Times New Roman"/>
          <w:color w:val="3A414A"/>
          <w:sz w:val="24"/>
          <w:szCs w:val="24"/>
        </w:rPr>
        <w:t>property by the Committee</w:t>
      </w:r>
      <w:r w:rsidRPr="00355FED">
        <w:rPr>
          <w:rFonts w:ascii="&amp;quot" w:eastAsia="Times New Roman" w:hAnsi="&amp;quot" w:cs="Times New Roman"/>
          <w:color w:val="3A414A"/>
          <w:sz w:val="24"/>
          <w:szCs w:val="24"/>
        </w:rPr>
        <w:t>, absolutely no gathering or loitering at any location on the property before or after a round.</w:t>
      </w:r>
    </w:p>
    <w:p w:rsidR="00ED2A69" w:rsidRPr="00355FED" w:rsidRDefault="00ED2A69" w:rsidP="00ED2A69">
      <w:pPr>
        <w:numPr>
          <w:ilvl w:val="0"/>
          <w:numId w:val="2"/>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Players are to maintain at least a six-foot distance minimum from other people (except for household members) while on property whenever possible.</w:t>
      </w:r>
    </w:p>
    <w:p w:rsidR="00ED2A69" w:rsidRPr="00355FED" w:rsidRDefault="00ED2A69" w:rsidP="00ED2A69">
      <w:pPr>
        <w:numPr>
          <w:ilvl w:val="0"/>
          <w:numId w:val="2"/>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Mask/facial coverings must be worn when six-foot minimum distance cannot be met, when indoors or otherwise in accordance with government ordinance.</w:t>
      </w:r>
    </w:p>
    <w:p w:rsidR="00ED2A69" w:rsidRPr="00355FED" w:rsidRDefault="00ED2A69" w:rsidP="00ED2A69">
      <w:pPr>
        <w:numPr>
          <w:ilvl w:val="0"/>
          <w:numId w:val="2"/>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There will not be an awards ceremony. Except as expressly permitted on </w:t>
      </w:r>
      <w:r w:rsidR="00C93B74" w:rsidRPr="00355FED">
        <w:rPr>
          <w:rFonts w:ascii="&amp;quot" w:eastAsia="Times New Roman" w:hAnsi="&amp;quot" w:cs="Times New Roman"/>
          <w:color w:val="3A414A"/>
          <w:sz w:val="24"/>
          <w:szCs w:val="24"/>
        </w:rPr>
        <w:t>property by the Committee</w:t>
      </w:r>
      <w:r w:rsidRPr="00355FED">
        <w:rPr>
          <w:rFonts w:ascii="&amp;quot" w:eastAsia="Times New Roman" w:hAnsi="&amp;quot" w:cs="Times New Roman"/>
          <w:color w:val="3A414A"/>
          <w:sz w:val="24"/>
          <w:szCs w:val="24"/>
        </w:rPr>
        <w:t xml:space="preserve">, players are required to leave as soon as possible after completing their round. </w:t>
      </w:r>
    </w:p>
    <w:p w:rsidR="00ED2A69" w:rsidRPr="00355FED" w:rsidRDefault="00ED2A69" w:rsidP="00ED2A69">
      <w:pPr>
        <w:spacing w:after="15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w:t>
      </w: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b/>
          <w:bCs/>
          <w:color w:val="3A414A"/>
          <w:sz w:val="24"/>
          <w:szCs w:val="24"/>
        </w:rPr>
        <w:t>Caddies</w:t>
      </w:r>
    </w:p>
    <w:p w:rsidR="00ED2A69" w:rsidRPr="00355FED" w:rsidRDefault="00ED2A69" w:rsidP="00ED2A69">
      <w:pPr>
        <w:numPr>
          <w:ilvl w:val="0"/>
          <w:numId w:val="3"/>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Caddies are not permitted until further notice.</w:t>
      </w:r>
    </w:p>
    <w:p w:rsidR="00C93B74" w:rsidRPr="00355FED" w:rsidRDefault="00C93B74" w:rsidP="00ED2A69">
      <w:pPr>
        <w:spacing w:after="0" w:line="240" w:lineRule="auto"/>
        <w:rPr>
          <w:rFonts w:ascii="&amp;quot" w:eastAsia="Times New Roman" w:hAnsi="&amp;quot" w:cs="Times New Roman"/>
          <w:b/>
          <w:bCs/>
          <w:color w:val="3A414A"/>
          <w:sz w:val="24"/>
          <w:szCs w:val="24"/>
        </w:rPr>
      </w:pP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b/>
          <w:bCs/>
          <w:color w:val="3A414A"/>
          <w:sz w:val="24"/>
          <w:szCs w:val="24"/>
        </w:rPr>
        <w:t>Spectators</w:t>
      </w:r>
    </w:p>
    <w:p w:rsidR="00ED2A69" w:rsidRPr="00355FED" w:rsidRDefault="00ED2A69" w:rsidP="00ED2A69">
      <w:pPr>
        <w:numPr>
          <w:ilvl w:val="0"/>
          <w:numId w:val="4"/>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Spectators are limited to one per player plus that spectator’s household members. Spectators are expected to maintain a reasonable distance from players during the round as they are not caddies.</w:t>
      </w:r>
    </w:p>
    <w:p w:rsidR="00ED2A69" w:rsidRPr="00355FED" w:rsidRDefault="00ED2A69" w:rsidP="00ED2A69">
      <w:pPr>
        <w:numPr>
          <w:ilvl w:val="0"/>
          <w:numId w:val="4"/>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Permitted spectators must maintain at least six-foot distance minimum from people while on property. </w:t>
      </w:r>
    </w:p>
    <w:p w:rsidR="00ED2A69" w:rsidRPr="00355FED" w:rsidRDefault="00ED2A69" w:rsidP="00ED2A69">
      <w:pPr>
        <w:spacing w:after="0" w:line="240" w:lineRule="auto"/>
        <w:ind w:left="300"/>
        <w:rPr>
          <w:rFonts w:ascii="&amp;quot" w:eastAsia="Times New Roman" w:hAnsi="&amp;quot" w:cs="Times New Roman"/>
          <w:color w:val="3A414A"/>
          <w:sz w:val="24"/>
          <w:szCs w:val="24"/>
        </w:rPr>
      </w:pPr>
    </w:p>
    <w:p w:rsidR="00ED2A69" w:rsidRPr="00355FED" w:rsidRDefault="00ED2A69" w:rsidP="00C93B74">
      <w:pPr>
        <w:spacing w:after="15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w:t>
      </w:r>
      <w:r w:rsidRPr="00355FED">
        <w:rPr>
          <w:rFonts w:ascii="&amp;quot" w:eastAsia="Times New Roman" w:hAnsi="&amp;quot" w:cs="Times New Roman"/>
          <w:b/>
          <w:bCs/>
          <w:color w:val="3A414A"/>
          <w:sz w:val="24"/>
          <w:szCs w:val="24"/>
        </w:rPr>
        <w:t>Groupings</w:t>
      </w:r>
    </w:p>
    <w:p w:rsidR="00ED2A69" w:rsidRPr="00355FED" w:rsidRDefault="00ED2A69" w:rsidP="00ED2A69">
      <w:pPr>
        <w:numPr>
          <w:ilvl w:val="0"/>
          <w:numId w:val="5"/>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Groups are required to stay away from the starting area until the previous group has cleared the tee.</w:t>
      </w:r>
    </w:p>
    <w:p w:rsidR="00ED2A69" w:rsidRPr="00355FED" w:rsidRDefault="00ED2A69" w:rsidP="00ED2A69">
      <w:pPr>
        <w:spacing w:after="15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w:t>
      </w: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b/>
          <w:bCs/>
          <w:color w:val="3A414A"/>
          <w:sz w:val="24"/>
          <w:szCs w:val="24"/>
        </w:rPr>
        <w:t>Practice/Warm-Up</w:t>
      </w:r>
    </w:p>
    <w:p w:rsidR="00ED2A69" w:rsidRPr="00355FED" w:rsidRDefault="00ED2A69" w:rsidP="00ED2A69">
      <w:pPr>
        <w:numPr>
          <w:ilvl w:val="0"/>
          <w:numId w:val="6"/>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Players should arrive on </w:t>
      </w:r>
      <w:r w:rsidR="00C93B74" w:rsidRPr="00355FED">
        <w:rPr>
          <w:rFonts w:ascii="&amp;quot" w:eastAsia="Times New Roman" w:hAnsi="&amp;quot" w:cs="Times New Roman"/>
          <w:color w:val="3A414A"/>
          <w:sz w:val="24"/>
          <w:szCs w:val="24"/>
        </w:rPr>
        <w:t xml:space="preserve">property </w:t>
      </w:r>
      <w:r w:rsidRPr="00355FED">
        <w:rPr>
          <w:rFonts w:ascii="&amp;quot" w:eastAsia="Times New Roman" w:hAnsi="&amp;quot" w:cs="Times New Roman"/>
          <w:color w:val="3A414A"/>
          <w:sz w:val="24"/>
          <w:szCs w:val="24"/>
        </w:rPr>
        <w:t>no earlier than 20 minutes prior to their starting time and limit range time to 10 minutes to allow others the opportunity. Any stretching or other warm-up activities should be done beforehand in the parking lot.</w:t>
      </w:r>
    </w:p>
    <w:p w:rsidR="00ED2A69" w:rsidRPr="00355FED" w:rsidRDefault="00ED2A69" w:rsidP="00ED2A69">
      <w:pPr>
        <w:numPr>
          <w:ilvl w:val="0"/>
          <w:numId w:val="6"/>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The practice putting green is only available to players 10 minutes prior to their starting time.</w:t>
      </w:r>
    </w:p>
    <w:p w:rsidR="00ED2A69" w:rsidRPr="00355FED" w:rsidRDefault="00ED2A69" w:rsidP="00ED2A69">
      <w:pPr>
        <w:spacing w:after="15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w:t>
      </w: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b/>
          <w:bCs/>
          <w:color w:val="3A414A"/>
          <w:sz w:val="24"/>
          <w:szCs w:val="24"/>
        </w:rPr>
        <w:t>Starter Interaction and Material Distribution</w:t>
      </w:r>
    </w:p>
    <w:p w:rsidR="00ED2A69" w:rsidRPr="00355FED" w:rsidRDefault="00ED2A69" w:rsidP="00ED2A69">
      <w:pPr>
        <w:numPr>
          <w:ilvl w:val="0"/>
          <w:numId w:val="7"/>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Starter box materials will be minimal </w:t>
      </w:r>
      <w:r w:rsidR="00C93B74" w:rsidRPr="00355FED">
        <w:rPr>
          <w:rFonts w:ascii="&amp;quot" w:eastAsia="Times New Roman" w:hAnsi="&amp;quot" w:cs="Times New Roman"/>
          <w:color w:val="3A414A"/>
          <w:sz w:val="24"/>
          <w:szCs w:val="24"/>
        </w:rPr>
        <w:t xml:space="preserve">(tees and pencils) </w:t>
      </w:r>
      <w:r w:rsidRPr="00355FED">
        <w:rPr>
          <w:rFonts w:ascii="&amp;quot" w:eastAsia="Times New Roman" w:hAnsi="&amp;quot" w:cs="Times New Roman"/>
          <w:color w:val="3A414A"/>
          <w:sz w:val="24"/>
          <w:szCs w:val="24"/>
        </w:rPr>
        <w:t xml:space="preserve">and </w:t>
      </w:r>
      <w:r w:rsidR="00C93B74" w:rsidRPr="00355FED">
        <w:rPr>
          <w:rFonts w:ascii="&amp;quot" w:eastAsia="Times New Roman" w:hAnsi="&amp;quot" w:cs="Times New Roman"/>
          <w:color w:val="3A414A"/>
          <w:sz w:val="24"/>
          <w:szCs w:val="24"/>
        </w:rPr>
        <w:t xml:space="preserve">will be </w:t>
      </w:r>
      <w:r w:rsidRPr="00355FED">
        <w:rPr>
          <w:rFonts w:ascii="&amp;quot" w:eastAsia="Times New Roman" w:hAnsi="&amp;quot" w:cs="Times New Roman"/>
          <w:color w:val="3A414A"/>
          <w:sz w:val="24"/>
          <w:szCs w:val="24"/>
        </w:rPr>
        <w:t>safely distributed by the starter</w:t>
      </w:r>
      <w:r w:rsidR="00C93B74" w:rsidRPr="00355FED">
        <w:rPr>
          <w:rFonts w:ascii="&amp;quot" w:eastAsia="Times New Roman" w:hAnsi="&amp;quot" w:cs="Times New Roman"/>
          <w:color w:val="3A414A"/>
          <w:sz w:val="24"/>
          <w:szCs w:val="24"/>
        </w:rPr>
        <w:t>s</w:t>
      </w:r>
      <w:r w:rsidRPr="00355FED">
        <w:rPr>
          <w:rFonts w:ascii="&amp;quot" w:eastAsia="Times New Roman" w:hAnsi="&amp;quot" w:cs="Times New Roman"/>
          <w:color w:val="3A414A"/>
          <w:sz w:val="24"/>
          <w:szCs w:val="24"/>
        </w:rPr>
        <w:t>. Players should supply their own ball-marking pens</w:t>
      </w:r>
      <w:r w:rsidR="00C93B74" w:rsidRPr="00355FED">
        <w:rPr>
          <w:rFonts w:ascii="&amp;quot" w:eastAsia="Times New Roman" w:hAnsi="&amp;quot" w:cs="Times New Roman"/>
          <w:color w:val="3A414A"/>
          <w:sz w:val="24"/>
          <w:szCs w:val="24"/>
        </w:rPr>
        <w:t xml:space="preserve"> and divot repair tools.</w:t>
      </w:r>
      <w:r w:rsidRPr="00355FED">
        <w:rPr>
          <w:rFonts w:ascii="&amp;quot" w:eastAsia="Times New Roman" w:hAnsi="&amp;quot" w:cs="Times New Roman"/>
          <w:color w:val="3A414A"/>
          <w:sz w:val="24"/>
          <w:szCs w:val="24"/>
        </w:rPr>
        <w:t> </w:t>
      </w:r>
    </w:p>
    <w:p w:rsidR="00ED2A69" w:rsidRPr="00355FED" w:rsidRDefault="00ED2A69" w:rsidP="00ED2A69">
      <w:pPr>
        <w:numPr>
          <w:ilvl w:val="0"/>
          <w:numId w:val="7"/>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Pace of Play / Hard Card and Hole Locations / Notice to Players will be provided online with the Player Information.</w:t>
      </w:r>
    </w:p>
    <w:p w:rsidR="00ED2A69" w:rsidRPr="00355FED" w:rsidRDefault="00ED2A69" w:rsidP="00ED2A69">
      <w:pPr>
        <w:numPr>
          <w:ilvl w:val="0"/>
          <w:numId w:val="7"/>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xml:space="preserve">Scorecards will </w:t>
      </w:r>
      <w:r w:rsidR="00C93B74" w:rsidRPr="00355FED">
        <w:rPr>
          <w:rFonts w:ascii="&amp;quot" w:eastAsia="Times New Roman" w:hAnsi="&amp;quot" w:cs="Times New Roman"/>
          <w:color w:val="3A414A"/>
          <w:sz w:val="24"/>
          <w:szCs w:val="24"/>
        </w:rPr>
        <w:t xml:space="preserve">be safely distributed by the starters to designated markers. </w:t>
      </w:r>
      <w:r w:rsidRPr="00355FED">
        <w:rPr>
          <w:rFonts w:ascii="&amp;quot" w:eastAsia="Times New Roman" w:hAnsi="&amp;quot" w:cs="Times New Roman"/>
          <w:color w:val="3A414A"/>
          <w:sz w:val="24"/>
          <w:szCs w:val="24"/>
        </w:rPr>
        <w:t>See below for specific scoring procedures.</w:t>
      </w:r>
    </w:p>
    <w:p w:rsidR="00ED2A69" w:rsidRPr="00355FED" w:rsidRDefault="00ED2A69" w:rsidP="00ED2A69">
      <w:pPr>
        <w:numPr>
          <w:ilvl w:val="0"/>
          <w:numId w:val="7"/>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Hand sanitizer will be made available at the starter table.</w:t>
      </w:r>
    </w:p>
    <w:p w:rsidR="00ED2A69" w:rsidRPr="00355FED" w:rsidRDefault="00ED2A69" w:rsidP="00ED2A69">
      <w:pPr>
        <w:numPr>
          <w:ilvl w:val="0"/>
          <w:numId w:val="7"/>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Only a clock will be at the Starter Table displaying the Official Time.</w:t>
      </w:r>
    </w:p>
    <w:p w:rsidR="00ED2A69" w:rsidRPr="00355FED" w:rsidRDefault="00ED2A69" w:rsidP="00ED2A69">
      <w:pPr>
        <w:numPr>
          <w:ilvl w:val="0"/>
          <w:numId w:val="7"/>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Starter directions will be given while spread 6 feet apart.</w:t>
      </w:r>
    </w:p>
    <w:p w:rsidR="00ED2A69" w:rsidRPr="00355FED" w:rsidRDefault="00ED2A69" w:rsidP="00ED2A69">
      <w:pPr>
        <w:spacing w:after="15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 </w:t>
      </w: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b/>
          <w:bCs/>
          <w:color w:val="3A414A"/>
          <w:sz w:val="24"/>
          <w:szCs w:val="24"/>
        </w:rPr>
        <w:t>Carts</w:t>
      </w: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Cart sanitation policies are subject to county ordinance and will be maintained by host facilities. Other cart policies may vary based on county ordinance and cart availability. See event Player Information for specific cart policies.</w:t>
      </w:r>
    </w:p>
    <w:p w:rsidR="00ED2A69" w:rsidRPr="00355FED" w:rsidRDefault="00C93B74" w:rsidP="00355FED">
      <w:pPr>
        <w:numPr>
          <w:ilvl w:val="0"/>
          <w:numId w:val="8"/>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C</w:t>
      </w:r>
      <w:r w:rsidR="00ED2A69" w:rsidRPr="00355FED">
        <w:rPr>
          <w:rFonts w:ascii="&amp;quot" w:eastAsia="Times New Roman" w:hAnsi="&amp;quot" w:cs="Times New Roman"/>
          <w:color w:val="3A414A"/>
          <w:sz w:val="24"/>
          <w:szCs w:val="24"/>
        </w:rPr>
        <w:t>arts are limited to single-riders.</w:t>
      </w:r>
    </w:p>
    <w:p w:rsidR="00355FED" w:rsidRDefault="00355FED" w:rsidP="00ED2A69">
      <w:pPr>
        <w:spacing w:after="150" w:line="240" w:lineRule="auto"/>
        <w:rPr>
          <w:rFonts w:ascii="&amp;quot" w:eastAsia="Times New Roman" w:hAnsi="&amp;quot" w:cs="Times New Roman"/>
          <w:color w:val="3A414A"/>
          <w:sz w:val="24"/>
          <w:szCs w:val="24"/>
        </w:rPr>
      </w:pPr>
    </w:p>
    <w:p w:rsidR="00355FED" w:rsidRPr="00355FED" w:rsidRDefault="00355FED" w:rsidP="00ED2A69">
      <w:pPr>
        <w:spacing w:after="150" w:line="240" w:lineRule="auto"/>
        <w:rPr>
          <w:rFonts w:ascii="&amp;quot" w:eastAsia="Times New Roman" w:hAnsi="&amp;quot" w:cs="Times New Roman"/>
          <w:b/>
          <w:color w:val="3A414A"/>
          <w:sz w:val="24"/>
          <w:szCs w:val="24"/>
        </w:rPr>
      </w:pPr>
      <w:r w:rsidRPr="00355FED">
        <w:rPr>
          <w:rFonts w:ascii="&amp;quot" w:eastAsia="Times New Roman" w:hAnsi="&amp;quot" w:cs="Times New Roman"/>
          <w:b/>
          <w:color w:val="3A414A"/>
          <w:sz w:val="24"/>
          <w:szCs w:val="24"/>
        </w:rPr>
        <w:t>Bunkers</w:t>
      </w:r>
    </w:p>
    <w:p w:rsidR="00355FED" w:rsidRDefault="00C23524" w:rsidP="00FF478A">
      <w:pPr>
        <w:numPr>
          <w:ilvl w:val="0"/>
          <w:numId w:val="7"/>
        </w:numPr>
        <w:spacing w:after="0" w:line="240" w:lineRule="auto"/>
        <w:ind w:left="300"/>
        <w:rPr>
          <w:rFonts w:ascii="&amp;quot" w:eastAsia="Times New Roman" w:hAnsi="&amp;quot" w:cs="Times New Roman"/>
          <w:color w:val="3A414A"/>
          <w:sz w:val="24"/>
          <w:szCs w:val="24"/>
        </w:rPr>
      </w:pPr>
      <w:r>
        <w:rPr>
          <w:rFonts w:ascii="&amp;quot" w:eastAsia="Times New Roman" w:hAnsi="&amp;quot" w:cs="Times New Roman"/>
          <w:color w:val="3A414A"/>
          <w:sz w:val="24"/>
          <w:szCs w:val="24"/>
        </w:rPr>
        <w:t>There will be no rakes on the course.</w:t>
      </w:r>
    </w:p>
    <w:p w:rsidR="00C23524" w:rsidRPr="00C23524" w:rsidRDefault="00C23524" w:rsidP="00FF478A">
      <w:pPr>
        <w:numPr>
          <w:ilvl w:val="0"/>
          <w:numId w:val="7"/>
        </w:numPr>
        <w:spacing w:after="0" w:line="240" w:lineRule="auto"/>
        <w:ind w:left="300"/>
        <w:rPr>
          <w:rFonts w:ascii="&amp;quot" w:eastAsia="Times New Roman" w:hAnsi="&amp;quot" w:cs="Times New Roman"/>
          <w:color w:val="3A414A"/>
          <w:sz w:val="24"/>
          <w:szCs w:val="24"/>
        </w:rPr>
      </w:pPr>
      <w:r w:rsidRPr="00C23524">
        <w:rPr>
          <w:rFonts w:ascii="&amp;quot" w:hAnsi="&amp;quot"/>
          <w:sz w:val="24"/>
          <w:szCs w:val="24"/>
        </w:rPr>
        <w:t xml:space="preserve">Players are encouraged to smooth the surface of the bunker with their foot or club before exiting the bunker. </w:t>
      </w:r>
    </w:p>
    <w:p w:rsidR="00C23524" w:rsidRPr="00C23524" w:rsidRDefault="00C23524" w:rsidP="00FF478A">
      <w:pPr>
        <w:numPr>
          <w:ilvl w:val="0"/>
          <w:numId w:val="7"/>
        </w:numPr>
        <w:spacing w:after="0" w:line="240" w:lineRule="auto"/>
        <w:ind w:left="300"/>
        <w:rPr>
          <w:rFonts w:ascii="&amp;quot" w:eastAsia="Times New Roman" w:hAnsi="&amp;quot" w:cs="Times New Roman"/>
          <w:color w:val="3A414A"/>
          <w:sz w:val="24"/>
          <w:szCs w:val="24"/>
        </w:rPr>
      </w:pPr>
      <w:r w:rsidRPr="00C23524">
        <w:rPr>
          <w:rFonts w:ascii="&amp;quot" w:hAnsi="&amp;quot"/>
          <w:sz w:val="24"/>
          <w:szCs w:val="24"/>
        </w:rPr>
        <w:t>When a player’s ball lies in a bunker, the player may take free relief once by placing the original ball or another ball in and playing it from this relief area: reference point – spot of the original ball; size of relief area measured from the reference point – one club-length from the reference point, but with limits; limits on location of relief area – must not be nearer the hole than the reference point and must be in the same bunker.</w:t>
      </w:r>
    </w:p>
    <w:p w:rsidR="00355FED" w:rsidRPr="00355FED" w:rsidRDefault="00355FED" w:rsidP="00ED2A69">
      <w:pPr>
        <w:spacing w:after="150" w:line="240" w:lineRule="auto"/>
        <w:rPr>
          <w:rFonts w:ascii="&amp;quot" w:eastAsia="Times New Roman" w:hAnsi="&amp;quot" w:cs="Times New Roman"/>
          <w:color w:val="3A414A"/>
          <w:sz w:val="24"/>
          <w:szCs w:val="24"/>
        </w:rPr>
      </w:pPr>
    </w:p>
    <w:p w:rsidR="00ED2A69" w:rsidRPr="00355FED" w:rsidRDefault="00ED2A69" w:rsidP="00ED2A69">
      <w:pPr>
        <w:spacing w:after="0" w:line="240" w:lineRule="auto"/>
        <w:rPr>
          <w:rFonts w:ascii="&amp;quot" w:eastAsia="Times New Roman" w:hAnsi="&amp;quot" w:cs="Times New Roman"/>
          <w:color w:val="3A414A"/>
          <w:sz w:val="24"/>
          <w:szCs w:val="24"/>
        </w:rPr>
      </w:pPr>
      <w:r w:rsidRPr="00355FED">
        <w:rPr>
          <w:rFonts w:ascii="&amp;quot" w:eastAsia="Times New Roman" w:hAnsi="&amp;quot" w:cs="Times New Roman"/>
          <w:b/>
          <w:bCs/>
          <w:color w:val="3A414A"/>
          <w:sz w:val="24"/>
          <w:szCs w:val="24"/>
        </w:rPr>
        <w:t>Scorecard and Scoring Procedures</w:t>
      </w:r>
    </w:p>
    <w:p w:rsidR="00ED2A69" w:rsidRPr="00355FED" w:rsidRDefault="00ED2A69" w:rsidP="00ED2A69">
      <w:pPr>
        <w:numPr>
          <w:ilvl w:val="0"/>
          <w:numId w:val="10"/>
        </w:numPr>
        <w:spacing w:after="0" w:line="240" w:lineRule="auto"/>
        <w:ind w:left="300"/>
        <w:rPr>
          <w:rFonts w:ascii="&amp;quot" w:eastAsia="Times New Roman" w:hAnsi="&amp;quot" w:cs="Times New Roman"/>
          <w:color w:val="3A414A"/>
          <w:sz w:val="24"/>
          <w:szCs w:val="24"/>
        </w:rPr>
      </w:pPr>
      <w:r w:rsidRPr="00355FED">
        <w:rPr>
          <w:rFonts w:ascii="&amp;quot" w:eastAsia="Times New Roman" w:hAnsi="&amp;quot" w:cs="Times New Roman"/>
          <w:color w:val="3A414A"/>
          <w:sz w:val="24"/>
          <w:szCs w:val="24"/>
        </w:rPr>
        <w:t>Players w</w:t>
      </w:r>
      <w:r w:rsidR="00C93B74" w:rsidRPr="00355FED">
        <w:rPr>
          <w:rFonts w:ascii="&amp;quot" w:eastAsia="Times New Roman" w:hAnsi="&amp;quot" w:cs="Times New Roman"/>
          <w:color w:val="3A414A"/>
          <w:sz w:val="24"/>
          <w:szCs w:val="24"/>
        </w:rPr>
        <w:t>ill v</w:t>
      </w:r>
      <w:r w:rsidRPr="00355FED">
        <w:rPr>
          <w:rFonts w:ascii="&amp;quot" w:eastAsia="Times New Roman" w:hAnsi="&amp;quot" w:cs="Times New Roman"/>
          <w:color w:val="3A414A"/>
          <w:sz w:val="24"/>
          <w:szCs w:val="24"/>
        </w:rPr>
        <w:t>erbally give hole-by-hole scores to the scoring official at the completion of the round at an outdoor scoring area from a safe distance and verbally certify scores.</w:t>
      </w:r>
    </w:p>
    <w:p w:rsidR="00402F7A" w:rsidRDefault="00402F7A"/>
    <w:sectPr w:rsidR="0040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377"/>
    <w:multiLevelType w:val="multilevel"/>
    <w:tmpl w:val="E4E0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DC30E2"/>
    <w:multiLevelType w:val="multilevel"/>
    <w:tmpl w:val="F38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D6788F"/>
    <w:multiLevelType w:val="multilevel"/>
    <w:tmpl w:val="B6F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D62EF"/>
    <w:multiLevelType w:val="multilevel"/>
    <w:tmpl w:val="79BA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7B7018"/>
    <w:multiLevelType w:val="multilevel"/>
    <w:tmpl w:val="2ADA5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52535D"/>
    <w:multiLevelType w:val="multilevel"/>
    <w:tmpl w:val="D1F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C005A"/>
    <w:multiLevelType w:val="multilevel"/>
    <w:tmpl w:val="6280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4335B9"/>
    <w:multiLevelType w:val="multilevel"/>
    <w:tmpl w:val="520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64666B"/>
    <w:multiLevelType w:val="multilevel"/>
    <w:tmpl w:val="ADB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14780"/>
    <w:multiLevelType w:val="multilevel"/>
    <w:tmpl w:val="70F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
  </w:num>
  <w:num w:numId="4">
    <w:abstractNumId w:val="5"/>
  </w:num>
  <w:num w:numId="5">
    <w:abstractNumId w:val="3"/>
  </w:num>
  <w:num w:numId="6">
    <w:abstractNumId w:val="7"/>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69"/>
    <w:rsid w:val="000D5DF9"/>
    <w:rsid w:val="00355FED"/>
    <w:rsid w:val="00402F7A"/>
    <w:rsid w:val="00776880"/>
    <w:rsid w:val="00C23524"/>
    <w:rsid w:val="00C93B74"/>
    <w:rsid w:val="00ED2A69"/>
    <w:rsid w:val="00ED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F346"/>
  <w15:chartTrackingRefBased/>
  <w15:docId w15:val="{624CB010-FAA1-44FE-9433-162E8052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Tharpe</dc:creator>
  <cp:keywords/>
  <dc:description/>
  <cp:lastModifiedBy>Tharpe, D. Tyler</cp:lastModifiedBy>
  <cp:revision>2</cp:revision>
  <dcterms:created xsi:type="dcterms:W3CDTF">2020-06-03T15:54:00Z</dcterms:created>
  <dcterms:modified xsi:type="dcterms:W3CDTF">2020-06-03T15:54:00Z</dcterms:modified>
</cp:coreProperties>
</file>